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6"/>
          <w:szCs w:val="32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700" cy="63817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822981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694" cy="63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</w:p>
    <w:p>
      <w:pPr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36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40"/>
        </w:rPr>
        <w:t xml:space="preserve">ПРИКАЗ</w:t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</w:p>
    <w:p>
      <w:pPr>
        <w:pStyle w:val="82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502-т</w:t>
      </w:r>
      <w:r/>
      <w:r>
        <w:rPr>
          <w:rFonts w:ascii="Liberation Sans" w:hAnsi="Liberation Sans" w:eastAsia="Liberation Serif" w:cs="Liberation Sans"/>
          <w:color w:val="0000ff"/>
          <w:sz w:val="28"/>
        </w:rPr>
      </w:r>
      <w:r>
        <w:rPr>
          <w:rFonts w:ascii="Liberation Sans" w:hAnsi="Liberation Sans" w:cs="Liberation Sans"/>
        </w:rPr>
      </w:r>
    </w:p>
    <w:p>
      <w:pPr>
        <w:pStyle w:val="834"/>
        <w:ind w:right="228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jc w:val="center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</w:p>
    <w:p>
      <w:pPr>
        <w:pStyle w:val="826"/>
        <w:jc w:val="lef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 в приложения №№ 1, 2 к приказу департамента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pStyle w:val="826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09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декабря 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года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№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2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10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26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изменение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котор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е вноси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тся </w:t>
        <w:br/>
        <w:t xml:space="preserve">в приложения №№ 1, 2 к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приказу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от 09 декабря 2020 года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№ 210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-т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Об установлении тарифов на тепловую энергию (мощность), производимую обществом </w:t>
        <w:br/>
        <w:t xml:space="preserve">с ограниченной ответственностью «Ямал-Энерго» и поставляемую потребителям села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Толька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муниципального образования муниципальный округ Красноселькупский район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и долгосрочных параметров регулирования тарифов, на 2021 - 2025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0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ind w:left="-142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</w:p>
    <w:p>
      <w:pPr>
        <w:pStyle w:val="826"/>
        <w:ind w:left="0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8789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</w:t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 котор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е внос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тся в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приложения №№ 1,2  к приказу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09 декабря 2020 года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№ 2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10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-т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31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72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Приложения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№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№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1, 2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изложить в следующей редакции: 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09 декабря 2020 года № 2</w:t>
      </w:r>
      <w:r>
        <w:rPr>
          <w:rFonts w:ascii="Liberation Sans" w:hAnsi="Liberation Sans" w:eastAsia="Liberation Serif" w:cs="Liberation Sans"/>
          <w:sz w:val="24"/>
        </w:rPr>
        <w:t xml:space="preserve">10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4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ТАРИФЫ НА ТЕПЛОВУЮ ЭНЕРГИЮ (МОЩНОСТЬ), ПРОИЗВОДИМУЮ 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ОБЩЕСТВ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ОМ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 С ОГРАНИЧЕННОЙ ОТВЕТСТВЕННОСТЬЮ </w:t>
        <w:br/>
        <w:t xml:space="preserve">«ЯМАЛ-ЭНЕРГО»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И ПОСТАВЛЯЕМУЮ ПОТРЕБИТЕЛЯМ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СЕЛА ТОЛЬКА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МУНИЦИПАЛЬНОГО ОБРАЗОВАНИЯ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МУНИЦИПАЛЬНЫЙ ОКРУГ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НА 20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21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– 202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5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ГОДЫ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4"/>
        </w:rPr>
      </w:pPr>
      <w:r>
        <w:rPr>
          <w:rFonts w:ascii="Liberation Sans" w:hAnsi="Liberation Sans" w:eastAsia="Liberation Serif" w:cs="Liberation Sans"/>
          <w:b w:val="0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9"/>
        <w:gridCol w:w="2408"/>
        <w:gridCol w:w="1995"/>
        <w:gridCol w:w="1157"/>
        <w:gridCol w:w="2013"/>
        <w:gridCol w:w="1040"/>
        <w:gridCol w:w="877"/>
        <w:gridCol w:w="1140"/>
        <w:gridCol w:w="968"/>
        <w:gridCol w:w="974"/>
        <w:gridCol w:w="1948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Вид тарифа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Вода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395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 1,2 до 2,5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 2,5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до 7,0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 7,0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до 13,0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свыше 13,0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10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12112" w:type="dxa"/>
            <w:vAlign w:val="center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45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1.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Общество с ограниченной ответственностью «Ямал-Энерго»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11242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8568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11242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96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11242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64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16301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20828</w:t>
            </w:r>
            <w:r>
              <w:rPr>
                <w:rFonts w:ascii="Liberation Sans" w:hAnsi="Liberation Sans" w:eastAsia="Liberation Serif" w:cs="Liberation Sans"/>
                <w:sz w:val="24"/>
                <w:highlight w:val="yellow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60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  <w:highlight w:val="yellow"/>
              </w:rPr>
            </w:pPr>
            <w:r>
              <w:rPr>
                <w:rFonts w:ascii="Liberation Sans" w:hAnsi="Liberation Sans" w:eastAsia="Liberation Serif" w:cs="Liberation Sans"/>
                <w:sz w:val="24"/>
                <w:highlight w:val="yellow"/>
              </w:rPr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20828</w:t>
            </w:r>
            <w:r>
              <w:rPr>
                <w:rFonts w:ascii="Liberation Sans" w:hAnsi="Liberation Sans" w:eastAsia="Liberation Serif" w:cs="Liberation Sans"/>
                <w:sz w:val="24"/>
                <w:highlight w:val="yellow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67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  <w:highlight w:val="none"/>
              </w:rPr>
              <w:t xml:space="preserve">19945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5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19945</w:t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9679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54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40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9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1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9867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4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pStyle w:val="826"/>
        <w:ind w:left="0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0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09 декабря 2020 года № 2</w:t>
      </w:r>
      <w:r>
        <w:rPr>
          <w:rFonts w:ascii="Liberation Sans" w:hAnsi="Liberation Sans" w:eastAsia="Liberation Serif" w:cs="Liberation Sans"/>
          <w:sz w:val="24"/>
        </w:rPr>
        <w:t xml:space="preserve">10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26"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502-т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sz w:val="24"/>
        </w:rPr>
      </w:r>
      <w:r>
        <w:rPr>
          <w:rFonts w:ascii="Liberation Sans" w:hAnsi="Liberation Sans" w:cs="Liberation Sans"/>
          <w:b w:val="0"/>
          <w:sz w:val="24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4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ЛЬГОТНЫЕ ТАРИФЫ НА ТЕПЛОВУЮ ЭНЕРГИЮ (МОЩНОСТЬ), ПРОИЗВОДИМУЮ 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center"/>
        <w:widowControl/>
        <w:rPr>
          <w:rFonts w:ascii="Liberation Sans" w:hAnsi="Liberation Sans" w:cs="Liberation Sans"/>
          <w:b w:val="0"/>
          <w:sz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ОБЩЕСТВ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ОМ</w:t>
      </w:r>
      <w:r>
        <w:rPr>
          <w:rFonts w:ascii="Liberation Sans" w:hAnsi="Liberation Sans" w:eastAsia="Liberation Serif" w:cs="Liberation Sans"/>
          <w:b w:val="0"/>
          <w:bCs w:val="0"/>
          <w:sz w:val="24"/>
        </w:rPr>
        <w:t xml:space="preserve"> С ОГРАНИЧЕННОЙ ОТВЕТСТВЕННОСТЬЮ «ЯМАЛ-ЭНЕРГО»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И ПОСТАВЛЯЕМУЮ ПОТРЕБИТЕЛЯМ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СЕЛА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ТОЛЬКА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МУНИЦИПАЛЬНОГО ОБРАЗОВАНИЯ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МУНИЦИПАЛЬНЫЙ ОКРУГ КРАСНОСЕЛЬКУПСКИЙ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НА 20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21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– 202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5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 ГОДЫ</w:t>
      </w: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</w:p>
    <w:p>
      <w:pPr>
        <w:pStyle w:val="841"/>
        <w:jc w:val="left"/>
        <w:widowControl/>
        <w:rPr>
          <w:rFonts w:ascii="Liberation Sans" w:hAnsi="Liberation Sans" w:cs="Liberation Sans"/>
          <w:b w:val="0"/>
          <w:sz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sz w:val="24"/>
          <w:highlight w:val="none"/>
        </w:rPr>
      </w:r>
      <w:r>
        <w:rPr>
          <w:rFonts w:ascii="Liberation Sans" w:hAnsi="Liberation Sans" w:cs="Liberation Sans"/>
        </w:rPr>
      </w:r>
    </w:p>
    <w:tbl>
      <w:tblPr>
        <w:tblW w:w="50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2375"/>
        <w:gridCol w:w="2007"/>
        <w:gridCol w:w="1188"/>
        <w:gridCol w:w="2025"/>
        <w:gridCol w:w="1070"/>
        <w:gridCol w:w="849"/>
        <w:gridCol w:w="1172"/>
        <w:gridCol w:w="1004"/>
        <w:gridCol w:w="910"/>
        <w:gridCol w:w="1876"/>
      </w:tblGrid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4"/>
            <w:tcW w:w="393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07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88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 1,2 до 2,5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 2,5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до 7,0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от 7,0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до 13,0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свыше 13,0 кг/см2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3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6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7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8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9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10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W w:w="593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9"/>
            <w:tcW w:w="12101" w:type="dxa"/>
            <w:vAlign w:val="top"/>
            <w:textDirection w:val="lrTb"/>
            <w:noWrap w:val="false"/>
          </w:tcPr>
          <w:p>
            <w:pPr>
              <w:pStyle w:val="826"/>
              <w:contextualSpacing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615"/>
        </w:trPr>
        <w:tc>
          <w:tcPr>
            <w:tcW w:w="593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37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Общество с ограниченной ответственностью «Ямал-Энерго»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W w:w="20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1211,59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5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1252,78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8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1252,78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1295,3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7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1411,96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1524,91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3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101" w:type="dxa"/>
            <w:vAlign w:val="top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8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1453,91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341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1503,34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6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1503,34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81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07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1554,45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55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0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22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01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31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12.20</w:t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1694,35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4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1829,89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188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01.01.202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30.06.202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cantSplit/>
          <w:trHeight w:val="547"/>
        </w:trPr>
        <w:tc>
          <w:tcPr>
            <w:tcW w:w="593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7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88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025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с    01.07.202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 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по  31.12.202</w:t>
            </w: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5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7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172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004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91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bottom w:val="single" w:color="000000" w:sz="4" w:space="0"/>
            </w:tcBorders>
            <w:tcW w:w="1876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rPr>
                <w:rFonts w:ascii="Liberation Sans" w:hAnsi="Liberation Sans" w:cs="Liberation Sans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  <w:sz w:val="20"/>
          <w:szCs w:val="20"/>
        </w:rPr>
        <w:t xml:space="preserve">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, указанные в 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begin"/>
      </w:r>
      <w:r>
        <w:rPr>
          <w:rFonts w:ascii="Liberation Sans" w:hAnsi="Liberation Sans" w:eastAsia="Liberation Serif" w:cs="Liberation Sans"/>
          <w:sz w:val="20"/>
          <w:szCs w:val="20"/>
        </w:rPr>
        <w:instrText xml:space="preserve">HYPERLINK "consultantplus://offline/ref=BC4FDCB53AB2EC8B14B6B3AE8120CF99E618AD28C81A94C69A1C057EC095CEE9BB73B2CF9B88F0D7DA4765HEQ0F"</w:instrTex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separate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пунктах 2 - 4 части 1 статьи 3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end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отходами и прекращении осуществления органами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&lt;**&gt;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потребители тепловой энергии (мощности), имеющие право на льготы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, указанные в 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begin"/>
      </w:r>
      <w:r>
        <w:rPr>
          <w:rFonts w:ascii="Liberation Sans" w:hAnsi="Liberation Sans" w:eastAsia="Liberation Serif" w:cs="Liberation Sans"/>
          <w:sz w:val="20"/>
          <w:szCs w:val="20"/>
        </w:rPr>
        <w:instrText xml:space="preserve">HYPERLINK "consultantplus://offline/ref=BC4FDCB53AB2EC8B14B6B3AE8120CF99E618AD28C81A94C69A1C057EC095CEE9BB73B2CF9B88F0D7DA4765HEQFF"</w:instrTex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separate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пункте 1 части 1 статьи 3</w:t>
      </w:r>
      <w:r>
        <w:rPr>
          <w:rFonts w:ascii="Liberation Sans" w:hAnsi="Liberation Sans" w:eastAsia="Liberation Serif" w:cs="Liberation Sans"/>
          <w:sz w:val="20"/>
          <w:szCs w:val="20"/>
        </w:rPr>
        <w:fldChar w:fldCharType="end"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коммунальными отходами и прекращении осуществления органами м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31"/>
        <w:ind w:right="-172" w:firstLine="54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r>
        <w:rPr>
          <w:rFonts w:ascii="Liberation Sans" w:hAnsi="Liberation Sans" w:eastAsia="Liberation Serif" w:cs="Liberation Sans"/>
        </w:rPr>
        <w:fldChar w:fldCharType="begin"/>
      </w:r>
      <w:r>
        <w:rPr>
          <w:rFonts w:ascii="Liberation Sans" w:hAnsi="Liberation Sans" w:eastAsia="Liberation Serif" w:cs="Liberation Sans"/>
        </w:rPr>
        <w:instrText xml:space="preserve">HYPERLINK "consultantplus://offline/ref=BC4FDCB53AB2EC8B14B6ADA3974C9894E114F221CB1B9993C6435E23979CC4BEFC3CEB8DDF85F5D1HDQDF"</w:instrText>
      </w:r>
      <w:r>
        <w:rPr>
          <w:rFonts w:ascii="Liberation Sans" w:hAnsi="Liberation Sans" w:eastAsia="Liberation Serif" w:cs="Liberation Sans"/>
        </w:rPr>
        <w:fldChar w:fldCharType="separate"/>
      </w:r>
      <w:r>
        <w:rPr>
          <w:rFonts w:ascii="Liberation Sans" w:hAnsi="Liberation Sans" w:eastAsia="Liberation Serif" w:cs="Liberation Sans"/>
        </w:rPr>
        <w:t xml:space="preserve">пункта 6 статьи 168</w:t>
      </w:r>
      <w:r>
        <w:rPr>
          <w:rFonts w:ascii="Liberation Sans" w:hAnsi="Liberation Sans" w:eastAsia="Liberation Serif" w:cs="Liberation Sans"/>
        </w:rPr>
        <w:fldChar w:fldCharType="end"/>
      </w:r>
      <w:r>
        <w:rPr>
          <w:rFonts w:ascii="Liberation Sans" w:hAnsi="Liberation Sans" w:eastAsia="Liberation Serif" w:cs="Liberation Sans"/>
        </w:rPr>
        <w:t xml:space="preserve"> Налогового кодекса Российской Федерации (часть вторая).</w:t>
      </w:r>
      <w:r>
        <w:rPr>
          <w:rFonts w:ascii="Liberation Sans" w:hAnsi="Liberation Sans" w:eastAsia="Liberation Serif" w:cs="Liberation Sans"/>
        </w:rPr>
        <w:t xml:space="preserve">     </w:t>
      </w:r>
      <w:r>
        <w:rPr>
          <w:rFonts w:ascii="Liberation Sans" w:hAnsi="Liberation Sans" w:eastAsia="Liberation Serif" w:cs="Liberation Sans"/>
        </w:rPr>
        <w:t xml:space="preserve">   </w:t>
      </w:r>
      <w:r>
        <w:rPr>
          <w:rFonts w:ascii="Liberation Sans" w:hAnsi="Liberation Sans" w:eastAsia="Liberation Serif" w:cs="Liberation Sans"/>
        </w:rPr>
        <w:t xml:space="preserve">                                                             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водоснабжения (теплоснабжения).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</w:t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».</w:t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p>
      <w:pPr>
        <w:pStyle w:val="826"/>
        <w:ind w:firstLine="54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</w: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</w:pPr>
      <w:rPr>
        <w:rFonts w:ascii="PT Astra Serif" w:hAnsi="PT Astra Serif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26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eastAsia="Arial" w:cs="Arial"/>
      <w:sz w:val="40"/>
      <w:szCs w:val="40"/>
    </w:rPr>
  </w:style>
  <w:style w:type="paragraph" w:styleId="650">
    <w:name w:val="Heading 2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1">
    <w:name w:val="Heading 2 Char"/>
    <w:link w:val="650"/>
    <w:uiPriority w:val="9"/>
    <w:rPr>
      <w:rFonts w:ascii="Arial" w:hAnsi="Arial" w:eastAsia="Arial" w:cs="Arial"/>
      <w:sz w:val="34"/>
    </w:rPr>
  </w:style>
  <w:style w:type="paragraph" w:styleId="652">
    <w:name w:val="Heading 3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eastAsia="Arial" w:cs="Arial"/>
      <w:sz w:val="30"/>
      <w:szCs w:val="30"/>
    </w:rPr>
  </w:style>
  <w:style w:type="paragraph" w:styleId="654">
    <w:name w:val="Heading 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656">
    <w:name w:val="Heading 5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eastAsia="Arial" w:cs="Arial"/>
      <w:b/>
      <w:bCs/>
      <w:sz w:val="24"/>
      <w:szCs w:val="24"/>
    </w:rPr>
  </w:style>
  <w:style w:type="paragraph" w:styleId="658">
    <w:name w:val="Heading 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uiPriority w:val="39"/>
    <w:unhideWhenUsed/>
    <w:pPr>
      <w:ind w:left="0" w:right="0" w:firstLine="0"/>
      <w:spacing w:after="57"/>
    </w:pPr>
  </w:style>
  <w:style w:type="paragraph" w:styleId="816">
    <w:name w:val="toc 2"/>
    <w:uiPriority w:val="39"/>
    <w:unhideWhenUsed/>
    <w:pPr>
      <w:ind w:left="283" w:right="0" w:firstLine="0"/>
      <w:spacing w:after="57"/>
    </w:pPr>
  </w:style>
  <w:style w:type="paragraph" w:styleId="817">
    <w:name w:val="toc 3"/>
    <w:uiPriority w:val="39"/>
    <w:unhideWhenUsed/>
    <w:pPr>
      <w:ind w:left="567" w:right="0" w:firstLine="0"/>
      <w:spacing w:after="57"/>
    </w:pPr>
  </w:style>
  <w:style w:type="paragraph" w:styleId="818">
    <w:name w:val="toc 4"/>
    <w:uiPriority w:val="39"/>
    <w:unhideWhenUsed/>
    <w:pPr>
      <w:ind w:left="850" w:right="0" w:firstLine="0"/>
      <w:spacing w:after="57"/>
    </w:pPr>
  </w:style>
  <w:style w:type="paragraph" w:styleId="819">
    <w:name w:val="toc 5"/>
    <w:uiPriority w:val="39"/>
    <w:unhideWhenUsed/>
    <w:pPr>
      <w:ind w:left="1134" w:right="0" w:firstLine="0"/>
      <w:spacing w:after="57"/>
    </w:pPr>
  </w:style>
  <w:style w:type="paragraph" w:styleId="820">
    <w:name w:val="toc 6"/>
    <w:uiPriority w:val="39"/>
    <w:unhideWhenUsed/>
    <w:pPr>
      <w:ind w:left="1417" w:right="0" w:firstLine="0"/>
      <w:spacing w:after="57"/>
    </w:pPr>
  </w:style>
  <w:style w:type="paragraph" w:styleId="821">
    <w:name w:val="toc 7"/>
    <w:uiPriority w:val="39"/>
    <w:unhideWhenUsed/>
    <w:pPr>
      <w:ind w:left="1701" w:right="0" w:firstLine="0"/>
      <w:spacing w:after="57"/>
    </w:pPr>
  </w:style>
  <w:style w:type="paragraph" w:styleId="822">
    <w:name w:val="toc 8"/>
    <w:uiPriority w:val="39"/>
    <w:unhideWhenUsed/>
    <w:pPr>
      <w:ind w:left="1984" w:right="0" w:firstLine="0"/>
      <w:spacing w:after="57"/>
    </w:pPr>
  </w:style>
  <w:style w:type="paragraph" w:styleId="823">
    <w:name w:val="toc 9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uiPriority w:val="99"/>
    <w:unhideWhenUsed/>
    <w:pPr>
      <w:spacing w:after="0" w:afterAutospacing="0"/>
    </w:pPr>
  </w:style>
  <w:style w:type="paragraph" w:styleId="826">
    <w:name w:val="Обычный"/>
    <w:next w:val="826"/>
    <w:link w:val="826"/>
    <w:rPr>
      <w:sz w:val="24"/>
      <w:szCs w:val="24"/>
      <w:lang w:val="ru-RU" w:eastAsia="ru-RU" w:bidi="ar-SA"/>
    </w:rPr>
  </w:style>
  <w:style w:type="character" w:styleId="827">
    <w:name w:val="Основной шрифт абзаца"/>
    <w:next w:val="827"/>
    <w:link w:val="826"/>
    <w:semiHidden/>
  </w:style>
  <w:style w:type="table" w:styleId="828">
    <w:name w:val="Обычная таблица"/>
    <w:next w:val="828"/>
    <w:link w:val="826"/>
    <w:semiHidden/>
    <w:tblPr/>
  </w:style>
  <w:style w:type="numbering" w:styleId="829">
    <w:name w:val="Нет списка"/>
    <w:next w:val="829"/>
    <w:link w:val="826"/>
    <w:semiHidden/>
  </w:style>
  <w:style w:type="paragraph" w:styleId="830">
    <w:name w:val="Знак Знак Знак Знак"/>
    <w:basedOn w:val="826"/>
    <w:next w:val="830"/>
    <w:link w:val="826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sz w:val="20"/>
      <w:szCs w:val="20"/>
      <w:lang w:val="en-US" w:eastAsia="en-US"/>
    </w:rPr>
  </w:style>
  <w:style w:type="paragraph" w:styleId="831">
    <w:name w:val="ConsPlusNormal"/>
    <w:next w:val="831"/>
    <w:link w:val="826"/>
    <w:pPr>
      <w:ind w:firstLine="720"/>
    </w:pPr>
    <w:rPr>
      <w:rFonts w:ascii="Arial" w:hAnsi="Arial"/>
      <w:lang w:val="ru-RU" w:eastAsia="ru-RU" w:bidi="ar-SA"/>
    </w:rPr>
  </w:style>
  <w:style w:type="paragraph" w:styleId="832">
    <w:name w:val="ConsPlusCell"/>
    <w:next w:val="832"/>
    <w:link w:val="826"/>
    <w:pPr>
      <w:widowControl w:val="off"/>
    </w:pPr>
    <w:rPr>
      <w:rFonts w:ascii="Arial" w:hAnsi="Arial"/>
      <w:lang w:val="ru-RU" w:eastAsia="ru-RU" w:bidi="ar-SA"/>
    </w:rPr>
  </w:style>
  <w:style w:type="table" w:styleId="833">
    <w:name w:val="Сетка таблицы"/>
    <w:basedOn w:val="828"/>
    <w:next w:val="833"/>
    <w:link w:val="826"/>
    <w:tblPr/>
  </w:style>
  <w:style w:type="paragraph" w:styleId="834">
    <w:name w:val="Основной текст с отступом 2"/>
    <w:basedOn w:val="826"/>
    <w:next w:val="834"/>
    <w:link w:val="836"/>
    <w:pPr>
      <w:ind w:firstLine="720"/>
      <w:jc w:val="both"/>
    </w:pPr>
    <w:rPr>
      <w:sz w:val="28"/>
      <w:lang w:val="en-US" w:eastAsia="en-US"/>
    </w:rPr>
  </w:style>
  <w:style w:type="paragraph" w:styleId="835">
    <w:name w:val="ConsPlusNonformat"/>
    <w:next w:val="835"/>
    <w:link w:val="826"/>
    <w:rPr>
      <w:rFonts w:ascii="Courier New" w:hAnsi="Courier New"/>
      <w:lang w:val="ru-RU" w:eastAsia="ru-RU" w:bidi="ar-SA"/>
    </w:rPr>
  </w:style>
  <w:style w:type="character" w:styleId="836">
    <w:name w:val="Основной текст с отступом 2 Знак"/>
    <w:next w:val="836"/>
    <w:link w:val="834"/>
    <w:rPr>
      <w:sz w:val="28"/>
      <w:szCs w:val="24"/>
    </w:rPr>
  </w:style>
  <w:style w:type="paragraph" w:styleId="837">
    <w:name w:val="Верхний колонтитул"/>
    <w:basedOn w:val="826"/>
    <w:next w:val="837"/>
    <w:link w:val="83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38">
    <w:name w:val="Верхний колонтитул Знак"/>
    <w:next w:val="838"/>
    <w:link w:val="837"/>
    <w:rPr>
      <w:sz w:val="24"/>
      <w:szCs w:val="24"/>
    </w:rPr>
  </w:style>
  <w:style w:type="paragraph" w:styleId="839">
    <w:name w:val="Нижний колонтитул"/>
    <w:basedOn w:val="826"/>
    <w:next w:val="839"/>
    <w:link w:val="84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40">
    <w:name w:val="Нижний колонтитул Знак"/>
    <w:next w:val="840"/>
    <w:link w:val="839"/>
    <w:rPr>
      <w:sz w:val="24"/>
      <w:szCs w:val="24"/>
    </w:rPr>
  </w:style>
  <w:style w:type="paragraph" w:styleId="841">
    <w:name w:val="ConsPlusTitle"/>
    <w:next w:val="841"/>
    <w:link w:val="82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842">
    <w:name w:val="Основной текст с отступом"/>
    <w:basedOn w:val="826"/>
    <w:next w:val="842"/>
    <w:link w:val="843"/>
    <w:pPr>
      <w:ind w:left="283"/>
      <w:spacing w:after="120"/>
    </w:pPr>
    <w:rPr>
      <w:lang w:val="en-US" w:eastAsia="en-US"/>
    </w:rPr>
  </w:style>
  <w:style w:type="character" w:styleId="843">
    <w:name w:val="Основной текст с отступом Знак"/>
    <w:next w:val="843"/>
    <w:link w:val="842"/>
    <w:rPr>
      <w:sz w:val="24"/>
      <w:szCs w:val="24"/>
    </w:rPr>
  </w:style>
  <w:style w:type="paragraph" w:styleId="844">
    <w:name w:val="Текст выноски"/>
    <w:basedOn w:val="826"/>
    <w:next w:val="844"/>
    <w:link w:val="845"/>
    <w:rPr>
      <w:rFonts w:ascii="Tahoma" w:hAnsi="Tahoma"/>
      <w:sz w:val="16"/>
      <w:szCs w:val="16"/>
      <w:lang w:val="en-US" w:eastAsia="en-US"/>
    </w:rPr>
  </w:style>
  <w:style w:type="character" w:styleId="845">
    <w:name w:val="Текст выноски Знак"/>
    <w:next w:val="845"/>
    <w:link w:val="844"/>
    <w:rPr>
      <w:rFonts w:ascii="Tahoma" w:hAnsi="Tahoma"/>
      <w:sz w:val="16"/>
      <w:szCs w:val="16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2023-12-16T11:13:53Z</dcterms:modified>
</cp:coreProperties>
</file>